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0E70" w14:textId="77777777" w:rsidR="00797BFB" w:rsidRDefault="00797BFB" w:rsidP="00797BFB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A00C5">
        <w:rPr>
          <w:rFonts w:ascii="Times New Roman" w:eastAsia="Cambria" w:hAnsi="Times New Roman" w:cs="Times New Roman"/>
          <w:b/>
          <w:bCs/>
          <w:sz w:val="24"/>
          <w:szCs w:val="24"/>
        </w:rPr>
        <w:t>ANEXO I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DA INSTRUÇÃO NORMATIVA Nº 21 DE 11 DE JUNHO DE 2021</w:t>
      </w:r>
    </w:p>
    <w:p w14:paraId="330C98C2" w14:textId="77777777" w:rsidR="00797BFB" w:rsidRDefault="00797BFB" w:rsidP="00797BFB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- </w:t>
      </w:r>
      <w:r w:rsidRPr="004A00C5">
        <w:rPr>
          <w:rFonts w:ascii="Times New Roman" w:eastAsia="Cambria" w:hAnsi="Times New Roman" w:cs="Times New Roman"/>
          <w:b/>
          <w:bCs/>
          <w:sz w:val="24"/>
          <w:szCs w:val="24"/>
        </w:rPr>
        <w:t>PLANO DE PROCESSO SELETIVO SIMPLIFICADO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REMOTO</w:t>
      </w:r>
    </w:p>
    <w:p w14:paraId="054D1B8E" w14:textId="77777777" w:rsidR="00797BFB" w:rsidRPr="00B9481C" w:rsidRDefault="00797BFB" w:rsidP="00797BFB">
      <w:pPr>
        <w:jc w:val="center"/>
        <w:rPr>
          <w:rFonts w:ascii="Times New Roman" w:eastAsia="Cambria" w:hAnsi="Times New Roman" w:cs="Times New Roman"/>
          <w:b/>
          <w:bCs/>
          <w:color w:val="FF0000"/>
          <w:sz w:val="16"/>
          <w:szCs w:val="16"/>
        </w:rPr>
      </w:pPr>
      <w:r w:rsidRPr="00B9481C">
        <w:rPr>
          <w:rFonts w:ascii="Times New Roman" w:eastAsia="Cambria" w:hAnsi="Times New Roman" w:cs="Times New Roman"/>
          <w:b/>
          <w:bCs/>
          <w:color w:val="FF0000"/>
          <w:sz w:val="16"/>
          <w:szCs w:val="16"/>
        </w:rPr>
        <w:t>(</w:t>
      </w:r>
      <w:r w:rsidRPr="00B9481C">
        <w:rPr>
          <w:rFonts w:ascii="Times New Roman" w:eastAsia="Cambria" w:hAnsi="Times New Roman" w:cs="Times New Roman"/>
          <w:color w:val="FF0000"/>
          <w:sz w:val="16"/>
          <w:szCs w:val="16"/>
        </w:rPr>
        <w:t>a natureza do Plano deve ser “</w:t>
      </w:r>
      <w:r w:rsidRPr="00B9481C">
        <w:rPr>
          <w:rFonts w:ascii="Times New Roman" w:eastAsia="Cambria" w:hAnsi="Times New Roman" w:cs="Times New Roman"/>
          <w:b/>
          <w:bCs/>
          <w:color w:val="FF0000"/>
          <w:sz w:val="16"/>
          <w:szCs w:val="16"/>
          <w:u w:val="single"/>
        </w:rPr>
        <w:t>Restrito</w:t>
      </w:r>
      <w:r w:rsidRPr="00B9481C">
        <w:rPr>
          <w:rFonts w:ascii="Times New Roman" w:eastAsia="Cambria" w:hAnsi="Times New Roman" w:cs="Times New Roman"/>
          <w:color w:val="FF0000"/>
          <w:sz w:val="16"/>
          <w:szCs w:val="16"/>
        </w:rPr>
        <w:t>” e hipótese legal “</w:t>
      </w:r>
      <w:r w:rsidRPr="00B9481C">
        <w:rPr>
          <w:rFonts w:ascii="Times New Roman" w:eastAsia="Cambria" w:hAnsi="Times New Roman" w:cs="Times New Roman"/>
          <w:b/>
          <w:bCs/>
          <w:color w:val="FF0000"/>
          <w:sz w:val="16"/>
          <w:szCs w:val="16"/>
          <w:u w:val="single"/>
        </w:rPr>
        <w:t>Documento preparatório</w:t>
      </w:r>
      <w:r w:rsidRPr="00B9481C">
        <w:rPr>
          <w:rFonts w:ascii="Times New Roman" w:eastAsia="Cambria" w:hAnsi="Times New Roman" w:cs="Times New Roman"/>
          <w:color w:val="FF0000"/>
          <w:sz w:val="16"/>
          <w:szCs w:val="16"/>
        </w:rPr>
        <w:t>”)</w:t>
      </w:r>
    </w:p>
    <w:p w14:paraId="7A26B83A" w14:textId="77777777" w:rsidR="00797BFB" w:rsidRPr="004A00C5" w:rsidRDefault="00797BFB" w:rsidP="00797B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3A767844" w14:textId="77777777" w:rsidR="00797BFB" w:rsidRPr="004A00C5" w:rsidRDefault="00797BFB" w:rsidP="0079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09175" w14:textId="77777777" w:rsidR="00797BFB" w:rsidRPr="004A00C5" w:rsidRDefault="00797BFB" w:rsidP="00797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C5">
        <w:rPr>
          <w:rFonts w:ascii="Times New Roman" w:hAnsi="Times New Roman" w:cs="Times New Roman"/>
          <w:b/>
          <w:sz w:val="24"/>
          <w:szCs w:val="24"/>
        </w:rPr>
        <w:t>1 - IDENTIFICAÇÃO</w:t>
      </w:r>
    </w:p>
    <w:p w14:paraId="41091DA8" w14:textId="77777777" w:rsidR="00797BFB" w:rsidRDefault="00797BFB" w:rsidP="00797BFB">
      <w:pPr>
        <w:pStyle w:val="PargrafodaLista"/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11">
        <w:rPr>
          <w:rFonts w:ascii="Times New Roman" w:hAnsi="Times New Roman" w:cs="Times New Roman"/>
          <w:sz w:val="24"/>
          <w:szCs w:val="24"/>
        </w:rPr>
        <w:t>- Unidade Acadêmica:</w:t>
      </w:r>
      <w:r w:rsidRPr="00F12111">
        <w:rPr>
          <w:rFonts w:ascii="Times New Roman" w:hAnsi="Times New Roman" w:cs="Times New Roman"/>
          <w:i/>
          <w:sz w:val="24"/>
          <w:szCs w:val="24"/>
        </w:rPr>
        <w:t xml:space="preserve"> (Instituto ou Campus).</w:t>
      </w:r>
    </w:p>
    <w:p w14:paraId="15C37C18" w14:textId="77777777" w:rsidR="00797BFB" w:rsidRPr="00F12111" w:rsidRDefault="00797BFB" w:rsidP="00797BFB">
      <w:pPr>
        <w:pStyle w:val="PargrafodaLista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7C51D4" w14:textId="77777777" w:rsidR="00797BFB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</w:p>
    <w:p w14:paraId="475BF2D4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____________________________________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_______________________________________________</w:t>
      </w:r>
    </w:p>
    <w:p w14:paraId="2D7F8D6D" w14:textId="77777777" w:rsidR="00797BFB" w:rsidRPr="004A00C5" w:rsidRDefault="00797BFB" w:rsidP="00797BFB">
      <w:pPr>
        <w:tabs>
          <w:tab w:val="center" w:pos="4252"/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fldChar w:fldCharType="begin"/>
      </w:r>
      <w:r w:rsidRPr="004A00C5">
        <w:rPr>
          <w:rFonts w:ascii="Times New Roman" w:hAnsi="Times New Roman" w:cs="Times New Roman"/>
          <w:sz w:val="24"/>
          <w:szCs w:val="24"/>
        </w:rPr>
        <w:instrText xml:space="preserve"> AUTOTEXT  " Caixa de Texto Simples"  \* MERGEFORMAT </w:instrText>
      </w:r>
      <w:r w:rsidRPr="004A00C5">
        <w:rPr>
          <w:rFonts w:ascii="Times New Roman" w:hAnsi="Times New Roman" w:cs="Times New Roman"/>
          <w:sz w:val="24"/>
          <w:szCs w:val="24"/>
        </w:rPr>
        <w:fldChar w:fldCharType="separate"/>
      </w:r>
      <w:r w:rsidRPr="004A00C5">
        <w:rPr>
          <w:rFonts w:ascii="Times New Roman" w:hAnsi="Times New Roman" w:cs="Times New Roman"/>
          <w:sz w:val="24"/>
          <w:szCs w:val="24"/>
        </w:rPr>
        <w:fldChar w:fldCharType="begin"/>
      </w:r>
      <w:r w:rsidRPr="004A00C5">
        <w:rPr>
          <w:rFonts w:ascii="Times New Roman" w:hAnsi="Times New Roman" w:cs="Times New Roman"/>
          <w:sz w:val="24"/>
          <w:szCs w:val="24"/>
        </w:rPr>
        <w:instrText xml:space="preserve"> AUTOTEXT  " Em Branco"  \* MERGEFORMAT </w:instrText>
      </w:r>
      <w:r w:rsidRPr="004A00C5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1616358" w14:textId="77777777" w:rsidR="00797BFB" w:rsidRDefault="00797BFB" w:rsidP="00797BF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fldChar w:fldCharType="end"/>
      </w:r>
      <w:r w:rsidRPr="004A00C5">
        <w:rPr>
          <w:rFonts w:ascii="Times New Roman" w:hAnsi="Times New Roman" w:cs="Times New Roman"/>
          <w:sz w:val="24"/>
          <w:szCs w:val="24"/>
        </w:rPr>
        <w:fldChar w:fldCharType="end"/>
      </w:r>
      <w:r w:rsidRPr="004A00C5">
        <w:rPr>
          <w:rFonts w:ascii="Times New Roman" w:hAnsi="Times New Roman" w:cs="Times New Roman"/>
          <w:sz w:val="24"/>
          <w:szCs w:val="24"/>
        </w:rPr>
        <w:t xml:space="preserve">1.1.2 - Subunidade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00C5">
        <w:rPr>
          <w:rFonts w:ascii="Times New Roman" w:hAnsi="Times New Roman" w:cs="Times New Roman"/>
          <w:sz w:val="24"/>
          <w:szCs w:val="24"/>
        </w:rPr>
        <w:t xml:space="preserve">cadêmica solicitante: </w:t>
      </w:r>
      <w:r w:rsidRPr="004A00C5">
        <w:rPr>
          <w:rFonts w:ascii="Times New Roman" w:hAnsi="Times New Roman" w:cs="Times New Roman"/>
          <w:i/>
          <w:sz w:val="24"/>
          <w:szCs w:val="24"/>
        </w:rPr>
        <w:t>(Curso e/ou Programa).</w:t>
      </w:r>
    </w:p>
    <w:p w14:paraId="602CEB27" w14:textId="77777777" w:rsidR="00797BFB" w:rsidRDefault="00797BFB" w:rsidP="00797BF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461C3F" w14:textId="77777777" w:rsidR="00797BFB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</w:p>
    <w:p w14:paraId="3AB67800" w14:textId="77777777" w:rsidR="00797BFB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</w:p>
    <w:p w14:paraId="05266D0C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____________________________________________________________________________________</w:t>
      </w:r>
    </w:p>
    <w:p w14:paraId="2E321F0E" w14:textId="77777777" w:rsidR="00797BFB" w:rsidRPr="004A00C5" w:rsidRDefault="00797BFB" w:rsidP="00797BF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DE30AE" w14:textId="77777777" w:rsidR="00797BFB" w:rsidRPr="004A00C5" w:rsidRDefault="00797BFB" w:rsidP="00797BFB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1.1.3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Informar o nome do p</w:t>
      </w:r>
      <w:r w:rsidRPr="004A00C5">
        <w:rPr>
          <w:rFonts w:ascii="Times New Roman" w:hAnsi="Times New Roman" w:cs="Times New Roman"/>
          <w:sz w:val="24"/>
          <w:szCs w:val="24"/>
        </w:rPr>
        <w:t xml:space="preserve">rofessor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A00C5">
        <w:rPr>
          <w:rFonts w:ascii="Times New Roman" w:hAnsi="Times New Roman" w:cs="Times New Roman"/>
          <w:sz w:val="24"/>
          <w:szCs w:val="24"/>
        </w:rPr>
        <w:t xml:space="preserve">itular que será substituído </w:t>
      </w:r>
      <w:r>
        <w:rPr>
          <w:rFonts w:ascii="Times New Roman" w:hAnsi="Times New Roman" w:cs="Times New Roman"/>
          <w:sz w:val="24"/>
          <w:szCs w:val="24"/>
        </w:rPr>
        <w:t>e a</w:t>
      </w:r>
      <w:r w:rsidRPr="004A00C5">
        <w:rPr>
          <w:rFonts w:ascii="Times New Roman" w:hAnsi="Times New Roman" w:cs="Times New Roman"/>
          <w:sz w:val="24"/>
          <w:szCs w:val="24"/>
        </w:rPr>
        <w:t xml:space="preserve">nexar </w:t>
      </w:r>
      <w:r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4A00C5">
        <w:rPr>
          <w:rFonts w:ascii="Times New Roman" w:hAnsi="Times New Roman" w:cs="Times New Roman"/>
          <w:sz w:val="24"/>
          <w:szCs w:val="24"/>
        </w:rPr>
        <w:t xml:space="preserve">a este Plano cópia 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A00C5">
        <w:rPr>
          <w:rFonts w:ascii="Times New Roman" w:hAnsi="Times New Roman" w:cs="Times New Roman"/>
          <w:sz w:val="24"/>
          <w:szCs w:val="24"/>
        </w:rPr>
        <w:t xml:space="preserve">ortaria 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00C5">
        <w:rPr>
          <w:rFonts w:ascii="Times New Roman" w:hAnsi="Times New Roman" w:cs="Times New Roman"/>
          <w:sz w:val="24"/>
          <w:szCs w:val="24"/>
        </w:rPr>
        <w:t>fastamento do titular.</w:t>
      </w:r>
    </w:p>
    <w:p w14:paraId="0DFE5FD3" w14:textId="77777777" w:rsidR="00797BFB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Justificar o pedido de abertura de PSS, identificando o nome do 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p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rofessor titular afastado que será substituído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,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 bem como analisar previamente a possibilidade de outro docente assumir suas demandas. Importante informar o período do afastamento do titular para fins de contrato do professor substituto.</w:t>
      </w:r>
    </w:p>
    <w:p w14:paraId="72AEE89B" w14:textId="77777777" w:rsidR="00797BFB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</w:p>
    <w:p w14:paraId="3B1E8309" w14:textId="77777777" w:rsidR="00797BFB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</w:p>
    <w:p w14:paraId="1C95CC82" w14:textId="77777777" w:rsidR="00797BFB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</w:p>
    <w:p w14:paraId="39D361B5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____________________________________________________________________________________</w:t>
      </w:r>
    </w:p>
    <w:p w14:paraId="7D58255B" w14:textId="77777777" w:rsidR="00797BFB" w:rsidRPr="00497590" w:rsidRDefault="00797BFB" w:rsidP="00797BFB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</w:rPr>
      </w:pPr>
      <w:r w:rsidRPr="000A455E">
        <w:rPr>
          <w:rFonts w:ascii="Times New Roman" w:hAnsi="Times New Roman" w:cs="Times New Roman"/>
          <w:sz w:val="24"/>
          <w:szCs w:val="24"/>
        </w:rPr>
        <w:t>- Regime de Trabalho</w:t>
      </w:r>
      <w:r w:rsidRPr="00497590">
        <w:rPr>
          <w:rFonts w:ascii="Times New Roman" w:hAnsi="Times New Roman" w:cs="Times New Roman"/>
        </w:rPr>
        <w:t>:</w:t>
      </w:r>
    </w:p>
    <w:p w14:paraId="399E14A3" w14:textId="77777777" w:rsidR="00797BFB" w:rsidRDefault="00797BFB" w:rsidP="00797BFB">
      <w:pPr>
        <w:pStyle w:val="PargrafodaLista"/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43"/>
        <w:gridCol w:w="4867"/>
      </w:tblGrid>
      <w:tr w:rsidR="00797BFB" w14:paraId="5DCE89EC" w14:textId="77777777" w:rsidTr="00A70C30">
        <w:tc>
          <w:tcPr>
            <w:tcW w:w="5035" w:type="dxa"/>
          </w:tcPr>
          <w:p w14:paraId="008A7F5F" w14:textId="77777777" w:rsidR="00797BFB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do titular:</w:t>
            </w:r>
          </w:p>
        </w:tc>
        <w:tc>
          <w:tcPr>
            <w:tcW w:w="5035" w:type="dxa"/>
          </w:tcPr>
          <w:p w14:paraId="5C44FDEE" w14:textId="77777777" w:rsidR="00797BFB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 do contratado:</w:t>
            </w:r>
          </w:p>
        </w:tc>
      </w:tr>
      <w:tr w:rsidR="00797BFB" w14:paraId="3D778213" w14:textId="77777777" w:rsidTr="00A70C30">
        <w:trPr>
          <w:trHeight w:val="431"/>
        </w:trPr>
        <w:tc>
          <w:tcPr>
            <w:tcW w:w="5035" w:type="dxa"/>
          </w:tcPr>
          <w:p w14:paraId="578E0EB4" w14:textId="77777777" w:rsidR="00797BFB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20h</w:t>
            </w:r>
          </w:p>
          <w:p w14:paraId="7FD705C6" w14:textId="77777777" w:rsidR="00797BFB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40h</w:t>
            </w:r>
          </w:p>
        </w:tc>
        <w:tc>
          <w:tcPr>
            <w:tcW w:w="5035" w:type="dxa"/>
          </w:tcPr>
          <w:p w14:paraId="77057CD4" w14:textId="77777777" w:rsidR="00797BFB" w:rsidRPr="00020490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90">
              <w:rPr>
                <w:rFonts w:ascii="Times New Roman" w:hAnsi="Times New Roman" w:cs="Times New Roman"/>
                <w:sz w:val="24"/>
                <w:szCs w:val="24"/>
              </w:rPr>
              <w:t>(  ) 20h</w:t>
            </w:r>
          </w:p>
          <w:p w14:paraId="2892D39E" w14:textId="77777777" w:rsidR="00797BFB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90">
              <w:rPr>
                <w:rFonts w:ascii="Times New Roman" w:hAnsi="Times New Roman" w:cs="Times New Roman"/>
                <w:sz w:val="24"/>
                <w:szCs w:val="24"/>
              </w:rPr>
              <w:t>(  ) 40h</w:t>
            </w:r>
          </w:p>
          <w:p w14:paraId="23CD1EF4" w14:textId="77777777" w:rsidR="00797BFB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4638" w14:textId="77777777" w:rsidR="00797BFB" w:rsidRDefault="00797BFB" w:rsidP="00A70C30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Observação: A unidade deverá justificar quando optar por carga horária semanal diferente do titular.</w:t>
            </w:r>
          </w:p>
        </w:tc>
      </w:tr>
    </w:tbl>
    <w:p w14:paraId="2CC5E16E" w14:textId="77777777" w:rsidR="00797BFB" w:rsidRDefault="00797BFB" w:rsidP="00797BFB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65FA39" w14:textId="77777777" w:rsidR="00797BFB" w:rsidRDefault="00797BFB" w:rsidP="00797BF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1.2.1 -Justificativa para carga horária diferente do titular:</w:t>
      </w:r>
    </w:p>
    <w:p w14:paraId="693D3E90" w14:textId="77777777" w:rsidR="00797BFB" w:rsidRDefault="00797BFB" w:rsidP="00797BFB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95FCB1" w14:textId="77777777" w:rsidR="00797BFB" w:rsidRDefault="00797BFB" w:rsidP="00797BFB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0BFF19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____________________________________________________________________________________</w:t>
      </w:r>
    </w:p>
    <w:p w14:paraId="1D463208" w14:textId="77777777" w:rsidR="00797BFB" w:rsidRDefault="00797BFB" w:rsidP="00797BFB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FA2F7B" w14:textId="77777777" w:rsidR="00797BFB" w:rsidRDefault="00797BFB" w:rsidP="00797BFB">
      <w:pPr>
        <w:pStyle w:val="PargrafodaLista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490">
        <w:rPr>
          <w:rFonts w:ascii="Times New Roman" w:hAnsi="Times New Roman" w:cs="Times New Roman"/>
          <w:sz w:val="24"/>
          <w:szCs w:val="24"/>
        </w:rPr>
        <w:t xml:space="preserve">- Quadro de lotação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20490">
        <w:rPr>
          <w:rFonts w:ascii="Times New Roman" w:hAnsi="Times New Roman" w:cs="Times New Roman"/>
          <w:sz w:val="24"/>
          <w:szCs w:val="24"/>
        </w:rPr>
        <w:t xml:space="preserve">rofessor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0490">
        <w:rPr>
          <w:rFonts w:ascii="Times New Roman" w:hAnsi="Times New Roman" w:cs="Times New Roman"/>
          <w:sz w:val="24"/>
          <w:szCs w:val="24"/>
        </w:rPr>
        <w:t>ubstituto: (</w:t>
      </w:r>
      <w:r w:rsidRPr="00020490">
        <w:rPr>
          <w:rFonts w:ascii="Times New Roman" w:hAnsi="Times New Roman" w:cs="Times New Roman"/>
          <w:i/>
          <w:sz w:val="24"/>
          <w:szCs w:val="24"/>
        </w:rPr>
        <w:t>Em casos de contrato inferiores a 2 semestres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20490">
        <w:rPr>
          <w:rFonts w:ascii="Times New Roman" w:hAnsi="Times New Roman" w:cs="Times New Roman"/>
          <w:i/>
          <w:sz w:val="24"/>
          <w:szCs w:val="24"/>
        </w:rPr>
        <w:t xml:space="preserve"> o quadro abaixo poderá ser adaptado).</w:t>
      </w:r>
    </w:p>
    <w:p w14:paraId="20FC3B9B" w14:textId="77777777" w:rsidR="00797BFB" w:rsidRPr="00020490" w:rsidRDefault="00797BFB" w:rsidP="00797BFB">
      <w:pPr>
        <w:pStyle w:val="PargrafodaList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017"/>
        <w:gridCol w:w="945"/>
        <w:gridCol w:w="2542"/>
        <w:gridCol w:w="1017"/>
        <w:gridCol w:w="1109"/>
      </w:tblGrid>
      <w:tr w:rsidR="00797BFB" w:rsidRPr="004A00C5" w14:paraId="5D103ED6" w14:textId="77777777" w:rsidTr="00A70C30">
        <w:trPr>
          <w:jc w:val="center"/>
        </w:trPr>
        <w:tc>
          <w:tcPr>
            <w:tcW w:w="4459" w:type="dxa"/>
            <w:gridSpan w:val="3"/>
            <w:shd w:val="clear" w:color="auto" w:fill="auto"/>
          </w:tcPr>
          <w:p w14:paraId="07876C7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Ano/Semestre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4601" w:type="dxa"/>
            <w:gridSpan w:val="3"/>
            <w:shd w:val="clear" w:color="auto" w:fill="auto"/>
          </w:tcPr>
          <w:p w14:paraId="715821A9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Ano/Semestre - II</w:t>
            </w:r>
          </w:p>
        </w:tc>
      </w:tr>
      <w:tr w:rsidR="00797BFB" w:rsidRPr="004A00C5" w14:paraId="4E98BAB1" w14:textId="77777777" w:rsidTr="00A70C3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478E0E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Componente Curricular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B2181A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Carga Horária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77EA50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Turma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664E8A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Componente Curricular</w:t>
            </w:r>
          </w:p>
        </w:tc>
        <w:tc>
          <w:tcPr>
            <w:tcW w:w="950" w:type="dxa"/>
            <w:vAlign w:val="center"/>
          </w:tcPr>
          <w:p w14:paraId="283D8C6F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Carga Horária</w:t>
            </w:r>
          </w:p>
        </w:tc>
        <w:tc>
          <w:tcPr>
            <w:tcW w:w="1109" w:type="dxa"/>
            <w:vAlign w:val="center"/>
          </w:tcPr>
          <w:p w14:paraId="5C414248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Turma</w:t>
            </w:r>
          </w:p>
        </w:tc>
      </w:tr>
      <w:tr w:rsidR="00797BFB" w:rsidRPr="004A00C5" w14:paraId="082A89E0" w14:textId="77777777" w:rsidTr="00A70C30">
        <w:trPr>
          <w:jc w:val="center"/>
        </w:trPr>
        <w:tc>
          <w:tcPr>
            <w:tcW w:w="2547" w:type="dxa"/>
            <w:shd w:val="clear" w:color="auto" w:fill="auto"/>
          </w:tcPr>
          <w:p w14:paraId="543EFFC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14:paraId="0FE7493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6F0873E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44811B3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14:paraId="27FD973F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14:paraId="46A0214E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7BFB" w:rsidRPr="004A00C5" w14:paraId="7ED87853" w14:textId="77777777" w:rsidTr="00A70C30">
        <w:trPr>
          <w:jc w:val="center"/>
        </w:trPr>
        <w:tc>
          <w:tcPr>
            <w:tcW w:w="2547" w:type="dxa"/>
            <w:shd w:val="clear" w:color="auto" w:fill="auto"/>
          </w:tcPr>
          <w:p w14:paraId="62F8165D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14:paraId="627ECC4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56F4EC8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0A2E0EB9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14:paraId="23F78E4C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14:paraId="6B1AD13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7BFB" w:rsidRPr="004A00C5" w14:paraId="49D11CB9" w14:textId="77777777" w:rsidTr="00A70C30">
        <w:trPr>
          <w:jc w:val="center"/>
        </w:trPr>
        <w:tc>
          <w:tcPr>
            <w:tcW w:w="2547" w:type="dxa"/>
            <w:shd w:val="clear" w:color="auto" w:fill="auto"/>
          </w:tcPr>
          <w:p w14:paraId="518D1072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14:paraId="2BBCCED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0557D764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15EEBD2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14:paraId="02DBEA0D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14:paraId="49AE9684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7BFB" w:rsidRPr="004A00C5" w14:paraId="746802FF" w14:textId="77777777" w:rsidTr="00A70C30">
        <w:trPr>
          <w:jc w:val="center"/>
        </w:trPr>
        <w:tc>
          <w:tcPr>
            <w:tcW w:w="2547" w:type="dxa"/>
            <w:shd w:val="clear" w:color="auto" w:fill="auto"/>
          </w:tcPr>
          <w:p w14:paraId="7647BCB8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14:paraId="391FE50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7A296C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537E806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14:paraId="371170F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14:paraId="3326D938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7BFB" w:rsidRPr="004A00C5" w14:paraId="5E77DFC2" w14:textId="77777777" w:rsidTr="00A70C30">
        <w:trPr>
          <w:jc w:val="center"/>
        </w:trPr>
        <w:tc>
          <w:tcPr>
            <w:tcW w:w="2547" w:type="dxa"/>
            <w:shd w:val="clear" w:color="auto" w:fill="auto"/>
          </w:tcPr>
          <w:p w14:paraId="5547DFAE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14:paraId="415CF78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2691677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333AFD26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14:paraId="790E6821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14:paraId="38BDA536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7BFB" w:rsidRPr="004A00C5" w14:paraId="05660313" w14:textId="77777777" w:rsidTr="00A70C30">
        <w:trPr>
          <w:jc w:val="center"/>
        </w:trPr>
        <w:tc>
          <w:tcPr>
            <w:tcW w:w="2547" w:type="dxa"/>
            <w:shd w:val="clear" w:color="auto" w:fill="auto"/>
          </w:tcPr>
          <w:p w14:paraId="37CFF8D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da CH </w:t>
            </w:r>
          </w:p>
        </w:tc>
        <w:tc>
          <w:tcPr>
            <w:tcW w:w="967" w:type="dxa"/>
            <w:shd w:val="clear" w:color="auto" w:fill="auto"/>
          </w:tcPr>
          <w:p w14:paraId="4089D7AC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0323C89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0ED2F9F0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>Total da CH</w:t>
            </w:r>
          </w:p>
        </w:tc>
        <w:tc>
          <w:tcPr>
            <w:tcW w:w="950" w:type="dxa"/>
          </w:tcPr>
          <w:p w14:paraId="4ECB1EB1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9" w:type="dxa"/>
          </w:tcPr>
          <w:p w14:paraId="6165471D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7BFB" w:rsidRPr="004A00C5" w14:paraId="067FCCF1" w14:textId="77777777" w:rsidTr="00A70C30">
        <w:trPr>
          <w:jc w:val="center"/>
        </w:trPr>
        <w:tc>
          <w:tcPr>
            <w:tcW w:w="9060" w:type="dxa"/>
            <w:gridSpan w:val="6"/>
            <w:shd w:val="clear" w:color="auto" w:fill="auto"/>
          </w:tcPr>
          <w:p w14:paraId="359093B8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Encargos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dministrativos </w:t>
            </w: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4A00C5">
              <w:rPr>
                <w:rFonts w:ascii="Times New Roman" w:hAnsi="Times New Roman" w:cs="Times New Roman"/>
                <w:i/>
                <w:sz w:val="24"/>
                <w:szCs w:val="24"/>
              </w:rPr>
              <w:t>Art. 32 da Resolução nº 184/2017-Consun/Ufopa, de 10/2/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4A00C5">
              <w:rPr>
                <w:rFonts w:ascii="Times New Roman" w:hAnsi="Times New Roman" w:cs="Times New Roman"/>
                <w:i/>
                <w:sz w:val="24"/>
                <w:szCs w:val="24"/>
              </w:rPr>
              <w:t>17)</w:t>
            </w:r>
          </w:p>
        </w:tc>
      </w:tr>
      <w:tr w:rsidR="00797BFB" w:rsidRPr="004A00C5" w14:paraId="5875E3D8" w14:textId="77777777" w:rsidTr="00A70C30">
        <w:trPr>
          <w:jc w:val="center"/>
        </w:trPr>
        <w:tc>
          <w:tcPr>
            <w:tcW w:w="7951" w:type="dxa"/>
            <w:gridSpan w:val="5"/>
            <w:shd w:val="clear" w:color="auto" w:fill="auto"/>
          </w:tcPr>
          <w:p w14:paraId="6FE5FDE2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49BA1D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</w:p>
        </w:tc>
      </w:tr>
      <w:tr w:rsidR="00797BFB" w:rsidRPr="004A00C5" w14:paraId="5638A6A3" w14:textId="77777777" w:rsidTr="00A70C30">
        <w:trPr>
          <w:jc w:val="center"/>
        </w:trPr>
        <w:tc>
          <w:tcPr>
            <w:tcW w:w="7951" w:type="dxa"/>
            <w:gridSpan w:val="5"/>
            <w:shd w:val="clear" w:color="auto" w:fill="auto"/>
          </w:tcPr>
          <w:p w14:paraId="3DB2B23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Comissões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valiação 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6C565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72CC767D" w14:textId="77777777" w:rsidTr="00A70C30">
        <w:trPr>
          <w:jc w:val="center"/>
        </w:trPr>
        <w:tc>
          <w:tcPr>
            <w:tcW w:w="7951" w:type="dxa"/>
            <w:gridSpan w:val="5"/>
            <w:shd w:val="clear" w:color="auto" w:fill="auto"/>
          </w:tcPr>
          <w:p w14:paraId="565D980D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Comitês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F9F069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38F3AF39" w14:textId="77777777" w:rsidTr="00A70C30">
        <w:trPr>
          <w:jc w:val="center"/>
        </w:trPr>
        <w:tc>
          <w:tcPr>
            <w:tcW w:w="7951" w:type="dxa"/>
            <w:gridSpan w:val="5"/>
            <w:shd w:val="clear" w:color="auto" w:fill="auto"/>
          </w:tcPr>
          <w:p w14:paraId="28EA9CFC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Outras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tividades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>cadêmicas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B9547E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</w:tr>
      <w:tr w:rsidR="00797BFB" w:rsidRPr="004A00C5" w14:paraId="070B3A25" w14:textId="77777777" w:rsidTr="00A70C30">
        <w:trPr>
          <w:jc w:val="center"/>
        </w:trPr>
        <w:tc>
          <w:tcPr>
            <w:tcW w:w="7951" w:type="dxa"/>
            <w:gridSpan w:val="5"/>
            <w:shd w:val="clear" w:color="auto" w:fill="auto"/>
          </w:tcPr>
          <w:p w14:paraId="7795FCCA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Orientações de TCC (máximo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cinco horas) 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00FBE7A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4E1B3D10" w14:textId="77777777" w:rsidTr="00A70C30">
        <w:trPr>
          <w:jc w:val="center"/>
        </w:trPr>
        <w:tc>
          <w:tcPr>
            <w:tcW w:w="7951" w:type="dxa"/>
            <w:gridSpan w:val="5"/>
            <w:shd w:val="clear" w:color="auto" w:fill="auto"/>
          </w:tcPr>
          <w:p w14:paraId="54C25F8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Estágio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upervisionado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brigatório </w:t>
            </w:r>
            <w:r w:rsidRPr="004A0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(quando não for disciplina) 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FD79FD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27FBC" w14:textId="77777777" w:rsidR="00797BFB" w:rsidRDefault="00797BFB" w:rsidP="00797BFB">
      <w:pPr>
        <w:jc w:val="both"/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As atividades não preenchidas neste quadro não poderão ser executadas pelo contratado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, tampouco aquelas que são consideradas proibidas conforme art. 8º da Resolução nº 78/2020 – Consad.</w:t>
      </w:r>
    </w:p>
    <w:p w14:paraId="28EAF882" w14:textId="77777777" w:rsidR="00797BFB" w:rsidRPr="00497590" w:rsidRDefault="00797BFB" w:rsidP="00797BFB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497590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Preencher todas as informações contidas no quadro  1.3. O não preenchimento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ou a supressão de qualquer dos itens</w:t>
      </w:r>
      <w:r w:rsidRPr="00497590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implicará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a</w:t>
      </w:r>
      <w:r w:rsidRPr="00497590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devolução do processo.</w:t>
      </w:r>
    </w:p>
    <w:p w14:paraId="594C6951" w14:textId="77777777" w:rsidR="00797BFB" w:rsidRDefault="00797BFB" w:rsidP="00797BFB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13D50" w14:textId="77777777" w:rsidR="00797BFB" w:rsidRDefault="00797BFB" w:rsidP="00797BFB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0C5">
        <w:rPr>
          <w:rFonts w:ascii="Times New Roman" w:hAnsi="Times New Roman" w:cs="Times New Roman"/>
          <w:b/>
          <w:bCs/>
          <w:sz w:val="24"/>
          <w:szCs w:val="24"/>
        </w:rPr>
        <w:t xml:space="preserve">2 - DO EDITAL </w:t>
      </w:r>
    </w:p>
    <w:p w14:paraId="0A4A0DB1" w14:textId="77777777" w:rsidR="00797BFB" w:rsidRPr="004A00C5" w:rsidRDefault="00797BFB" w:rsidP="00797BFB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>2.1 - Tema do concurso/nº de vaga/língua/programa de provas e requisitos de ingresso</w:t>
      </w:r>
    </w:p>
    <w:p w14:paraId="55FBFACB" w14:textId="77777777" w:rsidR="00797BFB" w:rsidRPr="004A00C5" w:rsidRDefault="00797BFB" w:rsidP="00797B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C5">
        <w:rPr>
          <w:rFonts w:ascii="Times New Roman" w:hAnsi="Times New Roman" w:cs="Times New Roman"/>
          <w:i/>
          <w:sz w:val="24"/>
          <w:szCs w:val="24"/>
        </w:rPr>
        <w:t>Relacionar no quadro abaixo:</w:t>
      </w:r>
    </w:p>
    <w:p w14:paraId="3ED12021" w14:textId="77777777" w:rsidR="00797BFB" w:rsidRPr="004A00C5" w:rsidRDefault="00797BFB" w:rsidP="00797B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C5">
        <w:rPr>
          <w:rFonts w:ascii="Times New Roman" w:hAnsi="Times New Roman" w:cs="Times New Roman"/>
          <w:i/>
          <w:sz w:val="24"/>
          <w:szCs w:val="24"/>
        </w:rPr>
        <w:t>Tema do concurso que abarque os componentes curriculares previstos no quadro de lotação do professor substituto (</w:t>
      </w:r>
      <w:r>
        <w:rPr>
          <w:rFonts w:ascii="Times New Roman" w:hAnsi="Times New Roman" w:cs="Times New Roman"/>
          <w:i/>
          <w:sz w:val="24"/>
          <w:szCs w:val="24"/>
        </w:rPr>
        <w:t>sub</w:t>
      </w:r>
      <w:r w:rsidRPr="004A00C5">
        <w:rPr>
          <w:rFonts w:ascii="Times New Roman" w:hAnsi="Times New Roman" w:cs="Times New Roman"/>
          <w:i/>
          <w:sz w:val="24"/>
          <w:szCs w:val="24"/>
        </w:rPr>
        <w:t>item 1.3).</w:t>
      </w:r>
    </w:p>
    <w:p w14:paraId="77CA586B" w14:textId="77777777" w:rsidR="00797BFB" w:rsidRPr="00F12111" w:rsidRDefault="00797BFB" w:rsidP="00797BFB">
      <w:pPr>
        <w:pStyle w:val="PargrafodaLista"/>
        <w:ind w:left="720"/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______________________________________________________________________________</w:t>
      </w:r>
    </w:p>
    <w:p w14:paraId="28AEF72F" w14:textId="77777777" w:rsidR="00797BFB" w:rsidRPr="004A00C5" w:rsidRDefault="00797BFB" w:rsidP="00797BFB">
      <w:pPr>
        <w:pStyle w:val="PargrafodaList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D98B8" w14:textId="77777777" w:rsidR="00797BFB" w:rsidRPr="004A00C5" w:rsidRDefault="00797BFB" w:rsidP="00797BF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C5">
        <w:rPr>
          <w:rFonts w:ascii="Times New Roman" w:hAnsi="Times New Roman" w:cs="Times New Roman"/>
          <w:i/>
          <w:sz w:val="24"/>
          <w:szCs w:val="24"/>
        </w:rPr>
        <w:t>Indicar no mínimo 5 (cinco) e no máximo 10 (dez)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0C5">
        <w:rPr>
          <w:rFonts w:ascii="Times New Roman" w:hAnsi="Times New Roman" w:cs="Times New Roman"/>
          <w:i/>
          <w:sz w:val="24"/>
          <w:szCs w:val="24"/>
        </w:rPr>
        <w:t>pontos de prova referente ao tema do PSS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A00C5">
        <w:rPr>
          <w:rFonts w:ascii="Times New Roman" w:hAnsi="Times New Roman" w:cs="Times New Roman"/>
          <w:i/>
          <w:sz w:val="24"/>
          <w:szCs w:val="24"/>
        </w:rPr>
        <w:t xml:space="preserve"> que serão sorteados para as provas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9200"/>
      </w:tblGrid>
      <w:tr w:rsidR="00797BFB" w:rsidRPr="00F12111" w14:paraId="4CE017B4" w14:textId="77777777" w:rsidTr="00A70C30">
        <w:trPr>
          <w:trHeight w:val="269"/>
          <w:jc w:val="center"/>
        </w:trPr>
        <w:tc>
          <w:tcPr>
            <w:tcW w:w="953" w:type="dxa"/>
            <w:shd w:val="clear" w:color="auto" w:fill="auto"/>
          </w:tcPr>
          <w:p w14:paraId="4AE8B218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O</w:t>
            </w: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rdem</w:t>
            </w:r>
          </w:p>
        </w:tc>
        <w:tc>
          <w:tcPr>
            <w:tcW w:w="9200" w:type="dxa"/>
            <w:shd w:val="clear" w:color="auto" w:fill="auto"/>
          </w:tcPr>
          <w:p w14:paraId="5C052818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 xml:space="preserve">Descrição do </w:t>
            </w:r>
            <w:r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p</w:t>
            </w: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onto de prova</w:t>
            </w:r>
          </w:p>
        </w:tc>
      </w:tr>
      <w:tr w:rsidR="00797BFB" w:rsidRPr="00F12111" w14:paraId="0D1FB746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4BFA3F50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1</w:t>
            </w:r>
          </w:p>
        </w:tc>
        <w:tc>
          <w:tcPr>
            <w:tcW w:w="9200" w:type="dxa"/>
            <w:shd w:val="clear" w:color="auto" w:fill="auto"/>
          </w:tcPr>
          <w:p w14:paraId="5A5BC19E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5019AC4B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14C6A8FC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2</w:t>
            </w:r>
          </w:p>
        </w:tc>
        <w:tc>
          <w:tcPr>
            <w:tcW w:w="9200" w:type="dxa"/>
            <w:shd w:val="clear" w:color="auto" w:fill="auto"/>
          </w:tcPr>
          <w:p w14:paraId="244D9A00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37A3496F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03F39F3A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3</w:t>
            </w:r>
          </w:p>
        </w:tc>
        <w:tc>
          <w:tcPr>
            <w:tcW w:w="9200" w:type="dxa"/>
            <w:shd w:val="clear" w:color="auto" w:fill="auto"/>
          </w:tcPr>
          <w:p w14:paraId="34302FB7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45899F37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0E450BE2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4</w:t>
            </w:r>
          </w:p>
        </w:tc>
        <w:tc>
          <w:tcPr>
            <w:tcW w:w="9200" w:type="dxa"/>
            <w:shd w:val="clear" w:color="auto" w:fill="auto"/>
          </w:tcPr>
          <w:p w14:paraId="09E58771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25C44083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4BADDE6A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5</w:t>
            </w:r>
          </w:p>
        </w:tc>
        <w:tc>
          <w:tcPr>
            <w:tcW w:w="9200" w:type="dxa"/>
            <w:shd w:val="clear" w:color="auto" w:fill="auto"/>
          </w:tcPr>
          <w:p w14:paraId="683A75C0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39EA4D01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74EB9B6E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6</w:t>
            </w:r>
          </w:p>
        </w:tc>
        <w:tc>
          <w:tcPr>
            <w:tcW w:w="9200" w:type="dxa"/>
            <w:shd w:val="clear" w:color="auto" w:fill="auto"/>
          </w:tcPr>
          <w:p w14:paraId="0DB6D3DC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4CBBF911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6C98EE09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7</w:t>
            </w:r>
          </w:p>
        </w:tc>
        <w:tc>
          <w:tcPr>
            <w:tcW w:w="9200" w:type="dxa"/>
            <w:shd w:val="clear" w:color="auto" w:fill="auto"/>
          </w:tcPr>
          <w:p w14:paraId="41F0C4D5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331C394A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624EEB46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8</w:t>
            </w:r>
          </w:p>
        </w:tc>
        <w:tc>
          <w:tcPr>
            <w:tcW w:w="9200" w:type="dxa"/>
            <w:shd w:val="clear" w:color="auto" w:fill="auto"/>
          </w:tcPr>
          <w:p w14:paraId="08A4BE11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089A5E69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5CCE9EAD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9</w:t>
            </w:r>
          </w:p>
        </w:tc>
        <w:tc>
          <w:tcPr>
            <w:tcW w:w="9200" w:type="dxa"/>
            <w:shd w:val="clear" w:color="auto" w:fill="auto"/>
          </w:tcPr>
          <w:p w14:paraId="7DAA4808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797BFB" w:rsidRPr="00F12111" w14:paraId="7FD715F5" w14:textId="77777777" w:rsidTr="00A70C30">
        <w:trPr>
          <w:trHeight w:val="252"/>
          <w:jc w:val="center"/>
        </w:trPr>
        <w:tc>
          <w:tcPr>
            <w:tcW w:w="953" w:type="dxa"/>
            <w:shd w:val="clear" w:color="auto" w:fill="auto"/>
          </w:tcPr>
          <w:p w14:paraId="25248D3B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  <w:r w:rsidRPr="00F12111"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  <w:t>10</w:t>
            </w:r>
          </w:p>
        </w:tc>
        <w:tc>
          <w:tcPr>
            <w:tcW w:w="9200" w:type="dxa"/>
            <w:shd w:val="clear" w:color="auto" w:fill="auto"/>
          </w:tcPr>
          <w:p w14:paraId="064AD4EC" w14:textId="77777777" w:rsidR="00797BFB" w:rsidRPr="00F12111" w:rsidRDefault="00797BFB" w:rsidP="00A70C30">
            <w:pPr>
              <w:jc w:val="both"/>
              <w:rPr>
                <w:rFonts w:ascii="Times New Roman" w:hAnsi="Times New Roman" w:cs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</w:tbl>
    <w:p w14:paraId="797248FE" w14:textId="77777777" w:rsidR="00797BFB" w:rsidRPr="004A00C5" w:rsidRDefault="00797BFB" w:rsidP="00797BFB">
      <w:pPr>
        <w:pStyle w:val="PargrafodaList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67352E" w14:textId="77777777" w:rsidR="00797BFB" w:rsidRPr="00F12111" w:rsidRDefault="00797BFB" w:rsidP="00797BFB">
      <w:pPr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c) Informar a titulação e </w:t>
      </w:r>
      <w:r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a </w:t>
      </w:r>
      <w:r w:rsidRPr="00F12111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especificação de conhecimento formal para o ingresso, não podendo acrescentar termos como “áreas afins” ou “áreas correlatas”.</w:t>
      </w:r>
      <w:r w:rsidRPr="00F337D4">
        <w:rPr>
          <w:rFonts w:ascii="Times New Roman" w:hAnsi="Times New Roman" w:cs="Times New Roman"/>
          <w:i/>
          <w:color w:val="FF0000"/>
          <w:sz w:val="24"/>
          <w:szCs w:val="24"/>
        </w:rPr>
        <w:t>(preferencialmente a mesma titulação do docente afastadoe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F337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se menor, devidamente justificado)</w:t>
      </w:r>
    </w:p>
    <w:p w14:paraId="026FF7C3" w14:textId="77777777" w:rsidR="00797BFB" w:rsidRPr="004A00C5" w:rsidRDefault="00797BFB" w:rsidP="00797B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97BFB" w:rsidRPr="004A00C5" w14:paraId="0E0746F5" w14:textId="77777777" w:rsidTr="00A70C30">
        <w:trPr>
          <w:trHeight w:val="249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A359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REQUISITOS DE FORMAÇÃO PARA CONTRATAÇÃO COM TITULAÇÃO IGUAL OU INFERIOR AO DO TITULAR, DESDE QUE JUSTIFICADO</w:t>
            </w:r>
          </w:p>
        </w:tc>
      </w:tr>
      <w:tr w:rsidR="00797BFB" w:rsidRPr="004A00C5" w14:paraId="5071E0A9" w14:textId="77777777" w:rsidTr="00A70C30">
        <w:trPr>
          <w:trHeight w:val="1410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E34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Exemplo: Mestre em XXXX com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4A0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raduação em YYY</w:t>
            </w:r>
          </w:p>
          <w:p w14:paraId="6FD0A5B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72E4B4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CBCAB46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D038D1F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49BF4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43C82C6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BC4A19D" w14:textId="77777777" w:rsidR="00797BFB" w:rsidRPr="004A00C5" w:rsidRDefault="00797BFB" w:rsidP="0079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8E54C" w14:textId="77777777" w:rsidR="00797BFB" w:rsidRPr="004A00C5" w:rsidRDefault="00797BFB" w:rsidP="00797BFB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2.2 - </w:t>
      </w:r>
      <w:r w:rsidRPr="004A00C5">
        <w:rPr>
          <w:rFonts w:ascii="Times New Roman" w:hAnsi="Times New Roman" w:cs="Times New Roman"/>
          <w:b/>
          <w:sz w:val="24"/>
          <w:szCs w:val="24"/>
        </w:rPr>
        <w:t>Data/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4A00C5">
        <w:rPr>
          <w:rFonts w:ascii="Times New Roman" w:hAnsi="Times New Roman" w:cs="Times New Roman"/>
          <w:b/>
          <w:sz w:val="24"/>
          <w:szCs w:val="24"/>
        </w:rPr>
        <w:t xml:space="preserve">orário 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A00C5">
        <w:rPr>
          <w:rFonts w:ascii="Times New Roman" w:hAnsi="Times New Roman" w:cs="Times New Roman"/>
          <w:b/>
          <w:sz w:val="24"/>
          <w:szCs w:val="24"/>
        </w:rPr>
        <w:t>ocal:</w:t>
      </w:r>
      <w:r w:rsidRPr="004A00C5">
        <w:rPr>
          <w:rFonts w:ascii="Times New Roman" w:hAnsi="Times New Roman" w:cs="Times New Roman"/>
          <w:sz w:val="24"/>
          <w:szCs w:val="24"/>
        </w:rPr>
        <w:t xml:space="preserve"> SUGESTÃO DE PER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A00C5">
        <w:rPr>
          <w:rFonts w:ascii="Times New Roman" w:hAnsi="Times New Roman" w:cs="Times New Roman"/>
          <w:sz w:val="24"/>
          <w:szCs w:val="24"/>
        </w:rPr>
        <w:t>ODO DE INSCRIÇÃO E DATAS DE PROVAS</w:t>
      </w:r>
    </w:p>
    <w:p w14:paraId="16013F3F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Orientações:</w:t>
      </w:r>
    </w:p>
    <w:p w14:paraId="48E414ED" w14:textId="77777777" w:rsidR="00797BFB" w:rsidRPr="00F12111" w:rsidRDefault="00797BFB" w:rsidP="00797BF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O período de inscrição deverá ter no mínimo 5 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(cinco) 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dias;</w:t>
      </w:r>
    </w:p>
    <w:p w14:paraId="7103A08C" w14:textId="77777777" w:rsidR="00797BFB" w:rsidRPr="00F12111" w:rsidRDefault="00797BFB" w:rsidP="00797BF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O período que compreende o dia de publicação do edital no Diário Oficiald a União até o in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í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cio das provas deverá ter no mínimo 10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 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(dez) e no máximo 20 (vinte) dias.</w:t>
      </w:r>
    </w:p>
    <w:p w14:paraId="3333184A" w14:textId="77777777" w:rsidR="00797BFB" w:rsidRPr="004A00C5" w:rsidRDefault="00797BFB" w:rsidP="00797BFB">
      <w:pPr>
        <w:pStyle w:val="PargrafodaLista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02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902"/>
      </w:tblGrid>
      <w:tr w:rsidR="00797BFB" w:rsidRPr="004A00C5" w14:paraId="784A5683" w14:textId="77777777" w:rsidTr="00A70C30">
        <w:trPr>
          <w:trHeight w:val="322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A37AB6B" w14:textId="77777777" w:rsidR="00797BFB" w:rsidRPr="004A00C5" w:rsidRDefault="00797BFB" w:rsidP="00A70C30">
            <w:pPr>
              <w:jc w:val="both"/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</w:pPr>
            <w:r w:rsidRPr="004A00C5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</w:rPr>
              <w:t>Cronograma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4B80E39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</w:rPr>
            </w:pPr>
          </w:p>
          <w:p w14:paraId="34067F31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  <w:r w:rsidRPr="004A00C5">
              <w:rPr>
                <w:rFonts w:ascii="Times New Roman" w:eastAsia="Cambria" w:hAnsi="Times New Roman" w:cs="Times New Roman"/>
                <w:b/>
                <w:color w:val="00000A"/>
                <w:sz w:val="24"/>
                <w:szCs w:val="24"/>
              </w:rPr>
              <w:t xml:space="preserve">Datas sugeridas </w:t>
            </w:r>
          </w:p>
        </w:tc>
      </w:tr>
      <w:tr w:rsidR="00797BFB" w:rsidRPr="004A00C5" w14:paraId="0763B7BF" w14:textId="77777777" w:rsidTr="00A70C30">
        <w:trPr>
          <w:trHeight w:val="340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6E5C604" w14:textId="77777777" w:rsidR="00797BFB" w:rsidRPr="00F12111" w:rsidRDefault="00797BFB" w:rsidP="00A70C30">
            <w:pPr>
              <w:jc w:val="both"/>
              <w:rPr>
                <w:rFonts w:ascii="Times New Roman" w:eastAsia="Cambria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Inscrição </w:t>
            </w:r>
            <w:r w:rsidRPr="00F12111">
              <w:rPr>
                <w:rFonts w:ascii="Times New Roman" w:eastAsia="Cambria" w:hAnsi="Times New Roman" w:cs="Times New Roman"/>
                <w:bCs/>
                <w:i/>
                <w:color w:val="00000A"/>
                <w:sz w:val="24"/>
                <w:szCs w:val="24"/>
              </w:rPr>
              <w:t>on</w:t>
            </w:r>
            <w:r>
              <w:rPr>
                <w:rFonts w:ascii="Times New Roman" w:eastAsia="Cambria" w:hAnsi="Times New Roman" w:cs="Times New Roman"/>
                <w:bCs/>
                <w:i/>
                <w:color w:val="00000A"/>
                <w:sz w:val="24"/>
                <w:szCs w:val="24"/>
              </w:rPr>
              <w:t>-</w:t>
            </w:r>
            <w:r w:rsidRPr="00F12111">
              <w:rPr>
                <w:rFonts w:ascii="Times New Roman" w:eastAsia="Cambria" w:hAnsi="Times New Roman" w:cs="Times New Roman"/>
                <w:bCs/>
                <w:i/>
                <w:color w:val="00000A"/>
                <w:sz w:val="24"/>
                <w:szCs w:val="24"/>
              </w:rPr>
              <w:t xml:space="preserve">line </w:t>
            </w:r>
            <w:hyperlink r:id="rId5">
              <w:r w:rsidRPr="00F12111">
                <w:rPr>
                  <w:rFonts w:ascii="Times New Roman" w:eastAsia="Cambria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</w:rPr>
                <w:t>www.ufopa.edu.br/concursos</w:t>
              </w:r>
            </w:hyperlink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7EA6CFB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04B6277F" w14:textId="77777777" w:rsidTr="00A70C30">
        <w:trPr>
          <w:trHeight w:val="34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78CD6B5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Publicação da banca examinadora na página do concurso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11599B3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7A3DAD8F" w14:textId="77777777" w:rsidTr="00A70C30">
        <w:trPr>
          <w:trHeight w:val="340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B15E0D7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Publicação da homologação das inscrições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15F90AA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1AF4806E" w14:textId="77777777" w:rsidTr="00A70C30">
        <w:trPr>
          <w:trHeight w:val="302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B38450E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Período de interposição de recurso contra a banca examinadora e inscrições homologadas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8BDF88A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13A9FE1A" w14:textId="77777777" w:rsidTr="00A70C30">
        <w:trPr>
          <w:trHeight w:val="218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0EFBB94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Resposta do recurso contra a banca examinadora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(se houver)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FBD868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1D346094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B85E9B5" w14:textId="77777777" w:rsidR="00797BFB" w:rsidRPr="00F12111" w:rsidRDefault="00797BFB" w:rsidP="00A70C30">
            <w:pPr>
              <w:jc w:val="both"/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Teste do ambiente virtual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B63C2C8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3886E87F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D69D325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Sorteio do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 t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ema da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rova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d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idática 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FD63A49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53162A3F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A923225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Sorteio da ordem de apresentação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rova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d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idática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59A7F65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72F6E640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45F8396" w14:textId="77777777" w:rsidR="00797BFB" w:rsidRPr="00F12111" w:rsidRDefault="00797BFB" w:rsidP="00A70C30">
            <w:pPr>
              <w:jc w:val="both"/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Realização da prova didática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  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F47DD05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44DFB25B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4EC1280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Resultado da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rova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d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idática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8E65AE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1D123496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4CA277F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Período de interposição de recurso contra nota da prova didática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A5A1631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6A98F72F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E782FB7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Resultado do recurso da prova didátiva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3CB556C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74DC7974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94FB5F2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  <w:t>Per</w:t>
            </w:r>
            <w:r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  <w:t>í</w:t>
            </w:r>
            <w:r w:rsidRPr="00F12111"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  <w:t xml:space="preserve">odo de envio do </w:t>
            </w:r>
            <w:commentRangeStart w:id="0"/>
            <w:commentRangeStart w:id="1"/>
            <w:r w:rsidRPr="00797BFB"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  <w:t xml:space="preserve">curriculum Lattes </w:t>
            </w:r>
            <w:commentRangeEnd w:id="0"/>
            <w:r w:rsidRPr="00797BFB">
              <w:rPr>
                <w:rStyle w:val="Refdecomentrio"/>
                <w:rFonts w:ascii="Calibri" w:eastAsia="Calibri" w:hAnsi="Calibri" w:cs="Calibri"/>
                <w:color w:val="000000"/>
                <w:lang w:val="pt-BR" w:eastAsia="pt-BR"/>
              </w:rPr>
              <w:commentReference w:id="0"/>
            </w:r>
            <w:commentRangeEnd w:id="1"/>
            <w:r w:rsidRPr="00797BFB">
              <w:rPr>
                <w:rStyle w:val="Refdecomentrio"/>
                <w:rFonts w:ascii="Calibri" w:eastAsia="Calibri" w:hAnsi="Calibri" w:cs="Calibri"/>
                <w:color w:val="000000"/>
                <w:lang w:val="pt-BR" w:eastAsia="pt-BR"/>
              </w:rPr>
              <w:commentReference w:id="1"/>
            </w:r>
            <w:r w:rsidRPr="00F12111"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  <w:t>e comprovantes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03BFA8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36056EE0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92C46C9" w14:textId="77777777" w:rsidR="00797BFB" w:rsidRPr="00F12111" w:rsidRDefault="00797BFB" w:rsidP="00A70C30">
            <w:pPr>
              <w:jc w:val="both"/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Julgamento de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t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ítulos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2A4595F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6E575DE3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97B474B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Resultado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f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inal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reliminar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96AB966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702AAB08" w14:textId="77777777" w:rsidTr="00A70C30">
        <w:trPr>
          <w:trHeight w:val="15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8B9B385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Prazo de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r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ecurso contra o resultado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f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inal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p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reliminar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28B813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7BFB" w:rsidRPr="004A00C5" w14:paraId="700B1C5A" w14:textId="77777777" w:rsidTr="00A70C30">
        <w:trPr>
          <w:trHeight w:val="326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FF0551B" w14:textId="77777777" w:rsidR="00797BFB" w:rsidRPr="00F12111" w:rsidRDefault="00797BFB" w:rsidP="00A70C30">
            <w:pPr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Resultado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f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inal </w:t>
            </w:r>
            <w:r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d</w:t>
            </w:r>
            <w:r w:rsidRPr="00F12111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 xml:space="preserve">efinitivo 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1FDC8BF" w14:textId="77777777" w:rsidR="00797BFB" w:rsidRPr="004A00C5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754BA825" w14:textId="77777777" w:rsidR="00797BFB" w:rsidRPr="004A00C5" w:rsidRDefault="00797BFB" w:rsidP="00797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E9298" w14:textId="77777777" w:rsidR="00797BFB" w:rsidRPr="004A00C5" w:rsidRDefault="00797BFB" w:rsidP="00797B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Obervação. </w:t>
      </w:r>
      <w:r w:rsidRPr="004A00C5">
        <w:rPr>
          <w:rFonts w:ascii="Times New Roman" w:hAnsi="Times New Roman" w:cs="Times New Roman"/>
          <w:i/>
          <w:sz w:val="24"/>
          <w:szCs w:val="24"/>
        </w:rPr>
        <w:t>Em consonância com a S</w:t>
      </w:r>
      <w:r>
        <w:rPr>
          <w:rFonts w:ascii="Times New Roman" w:hAnsi="Times New Roman" w:cs="Times New Roman"/>
          <w:i/>
          <w:sz w:val="24"/>
          <w:szCs w:val="24"/>
        </w:rPr>
        <w:t>ú</w:t>
      </w:r>
      <w:r w:rsidRPr="004A00C5">
        <w:rPr>
          <w:rFonts w:ascii="Times New Roman" w:hAnsi="Times New Roman" w:cs="Times New Roman"/>
          <w:i/>
          <w:sz w:val="24"/>
          <w:szCs w:val="24"/>
        </w:rPr>
        <w:t xml:space="preserve">mula STF 266, não se pode exigir no ato de inscrição qualquer documento de escolaridade/titulação para concorrer a qualquer cargo, </w:t>
      </w:r>
      <w:r>
        <w:rPr>
          <w:rFonts w:ascii="Times New Roman" w:hAnsi="Times New Roman" w:cs="Times New Roman"/>
          <w:i/>
          <w:sz w:val="24"/>
          <w:szCs w:val="24"/>
        </w:rPr>
        <w:t xml:space="preserve">devendo </w:t>
      </w:r>
      <w:r w:rsidRPr="004A00C5">
        <w:rPr>
          <w:rFonts w:ascii="Times New Roman" w:hAnsi="Times New Roman" w:cs="Times New Roman"/>
          <w:i/>
          <w:sz w:val="24"/>
          <w:szCs w:val="24"/>
        </w:rPr>
        <w:t>tal documentação ser exigida apenas no ato de posse. Desta forma, para os PSS, as inscrições serão processadas de forma on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A00C5">
        <w:rPr>
          <w:rFonts w:ascii="Times New Roman" w:hAnsi="Times New Roman" w:cs="Times New Roman"/>
          <w:i/>
          <w:sz w:val="24"/>
          <w:szCs w:val="24"/>
        </w:rPr>
        <w:t xml:space="preserve">line, na página de concurso da Ufopa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hyperlink r:id="rId10" w:history="1">
        <w:r w:rsidRPr="00802AC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www.ufopa.edu.br/concursos</w:t>
        </w:r>
      </w:hyperlink>
      <w:r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Pr="004A00C5">
        <w:rPr>
          <w:rFonts w:ascii="Times New Roman" w:hAnsi="Times New Roman" w:cs="Times New Roman"/>
          <w:i/>
          <w:sz w:val="24"/>
          <w:szCs w:val="24"/>
        </w:rPr>
        <w:t xml:space="preserve">, com preenchimento de cadastro referente ao PSS. O período de inscrição deverá </w:t>
      </w:r>
      <w:r>
        <w:rPr>
          <w:rFonts w:ascii="Times New Roman" w:hAnsi="Times New Roman" w:cs="Times New Roman"/>
          <w:i/>
          <w:sz w:val="24"/>
          <w:szCs w:val="24"/>
        </w:rPr>
        <w:t xml:space="preserve">ser </w:t>
      </w:r>
      <w:r w:rsidRPr="004A00C5">
        <w:rPr>
          <w:rFonts w:ascii="Times New Roman" w:hAnsi="Times New Roman" w:cs="Times New Roman"/>
          <w:i/>
          <w:sz w:val="24"/>
          <w:szCs w:val="24"/>
        </w:rPr>
        <w:t>de no mínimo 5 (cinco) dias.</w:t>
      </w:r>
    </w:p>
    <w:p w14:paraId="7CCAB47F" w14:textId="77777777" w:rsidR="00797BFB" w:rsidRPr="004A00C5" w:rsidRDefault="00797BFB" w:rsidP="00797B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7B5FE8" w14:textId="77777777" w:rsidR="00797BFB" w:rsidRPr="004A00C5" w:rsidRDefault="00797BFB" w:rsidP="00797B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2.3 – </w:t>
      </w:r>
      <w:r w:rsidRPr="004A00C5">
        <w:rPr>
          <w:rFonts w:ascii="Times New Roman" w:hAnsi="Times New Roman" w:cs="Times New Roman"/>
          <w:b/>
          <w:bCs/>
          <w:sz w:val="24"/>
          <w:szCs w:val="24"/>
        </w:rPr>
        <w:t>Escolha da modalidade de PSS e respectivas provas a serem aplicadas:</w:t>
      </w:r>
    </w:p>
    <w:p w14:paraId="231AECD3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A unidade deverá fazer a opção por uma das duas modalidade de PSS, se físico ou remoto. O PSS presencial é o sistema tradicional de aplicação de provas, 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no qual 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tanto a 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b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anca 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e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xaminadora quanto o 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c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andidato deverão comparecer em local determinado no edital. O PSS Remoto é a inovação de aplicação 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lastRenderedPageBreak/>
        <w:t>de seleção totalmente remota, por meio de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 recursos 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de tecnologia de comunicação e educação, sem a presença física e geográfica dos pares.</w:t>
      </w:r>
    </w:p>
    <w:p w14:paraId="5AFC0E34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Expecionalmente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,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 xml:space="preserve">no </w:t>
      </w:r>
      <w:r w:rsidRPr="00F12111">
        <w:rPr>
          <w:rFonts w:ascii="Times New Roman" w:hAnsi="Times New Roman" w:cs="Times New Roman"/>
          <w:i/>
          <w:iCs/>
          <w:color w:val="8496B0" w:themeColor="text2" w:themeTint="99"/>
          <w:sz w:val="24"/>
          <w:szCs w:val="24"/>
        </w:rPr>
        <w:t>PSS Remoto não serão aplicadas provas escritas.</w:t>
      </w:r>
    </w:p>
    <w:p w14:paraId="12B9B989" w14:textId="77777777" w:rsidR="00797BFB" w:rsidRPr="004A00C5" w:rsidRDefault="00797BFB" w:rsidP="00797B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1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4678"/>
      </w:tblGrid>
      <w:tr w:rsidR="00797BFB" w:rsidRPr="004A00C5" w14:paraId="450BF615" w14:textId="77777777" w:rsidTr="00A70C30">
        <w:trPr>
          <w:trHeight w:val="156"/>
        </w:trPr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A0F6BAC" w14:textId="77777777" w:rsidR="00797BFB" w:rsidRPr="004A00C5" w:rsidRDefault="00797BFB" w:rsidP="00A70C30">
            <w:pPr>
              <w:spacing w:line="480" w:lineRule="auto"/>
              <w:jc w:val="both"/>
              <w:rPr>
                <w:rFonts w:ascii="Times New Roman" w:eastAsia="Arial Narrow" w:hAnsi="Times New Roman" w:cs="Times New Roman"/>
                <w:bCs/>
                <w:color w:val="00000A"/>
                <w:sz w:val="24"/>
                <w:szCs w:val="24"/>
              </w:rPr>
            </w:pPr>
            <w:r w:rsidRPr="004A00C5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Modalidade de PSS Presencial (   ) Sim  (   )Não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CA29A73" w14:textId="77777777" w:rsidR="00797BFB" w:rsidRPr="004A00C5" w:rsidRDefault="00797BFB" w:rsidP="00A70C30">
            <w:pPr>
              <w:spacing w:line="480" w:lineRule="auto"/>
              <w:jc w:val="both"/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</w:pPr>
            <w:r w:rsidRPr="004A00C5">
              <w:rPr>
                <w:rFonts w:ascii="Times New Roman" w:eastAsia="Cambria" w:hAnsi="Times New Roman" w:cs="Times New Roman"/>
                <w:bCs/>
                <w:color w:val="00000A"/>
                <w:sz w:val="24"/>
                <w:szCs w:val="24"/>
              </w:rPr>
              <w:t>Modalidade de PSS Remoto (   ) Sim  (   )Não</w:t>
            </w:r>
          </w:p>
        </w:tc>
      </w:tr>
      <w:tr w:rsidR="00797BFB" w:rsidRPr="004A00C5" w14:paraId="19A35942" w14:textId="77777777" w:rsidTr="00A70C30">
        <w:trPr>
          <w:trHeight w:val="326"/>
        </w:trPr>
        <w:tc>
          <w:tcPr>
            <w:tcW w:w="5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6EC6854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(X) Prova escrita, em língua portuguesa (obrigatório, conforme art. 4º do Decreto nº 4.748, de 16 de junho de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6B638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(X) Prova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idática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58250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(   ) Julgamento de títulos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51C37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(   ) Prova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rática.</w:t>
            </w:r>
          </w:p>
          <w:p w14:paraId="2B484C10" w14:textId="77777777" w:rsidR="00797BFB" w:rsidRPr="004A00C5" w:rsidRDefault="00797BFB" w:rsidP="00A70C30">
            <w:pPr>
              <w:jc w:val="both"/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</w:pPr>
          </w:p>
          <w:p w14:paraId="0F9AD2BD" w14:textId="77777777" w:rsidR="00797BFB" w:rsidRPr="004A00C5" w:rsidRDefault="00797BFB" w:rsidP="00A70C30">
            <w:pPr>
              <w:jc w:val="both"/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</w:pPr>
          </w:p>
          <w:p w14:paraId="419356BB" w14:textId="77777777" w:rsidR="00797BFB" w:rsidRPr="004A00C5" w:rsidRDefault="00797BFB" w:rsidP="00A70C30">
            <w:pPr>
              <w:jc w:val="both"/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</w:pPr>
            <w:r w:rsidRPr="004A00C5"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  <w:t>Local</w:t>
            </w:r>
            <w:r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A00C5"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  <w:t>de aplicação de prova (endereço completo):</w:t>
            </w:r>
          </w:p>
          <w:p w14:paraId="4C731501" w14:textId="77777777" w:rsidR="00797BFB" w:rsidRPr="004A00C5" w:rsidRDefault="00797BFB" w:rsidP="00A70C30">
            <w:pPr>
              <w:jc w:val="both"/>
              <w:rPr>
                <w:rFonts w:ascii="Times New Roman" w:eastAsia="Arial Narrow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F9B5BB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(X) Prova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idática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DB622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(   ) Julgamento de títulos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0D8BF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(   ) Prova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rática.</w:t>
            </w:r>
          </w:p>
          <w:p w14:paraId="2783A72D" w14:textId="77777777" w:rsidR="00797BFB" w:rsidRDefault="00797BFB" w:rsidP="00A70C30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  <w:p w14:paraId="7F87D92C" w14:textId="3325E071" w:rsidR="00797BFB" w:rsidRPr="004A00C5" w:rsidRDefault="00797BFB" w:rsidP="00797BFB">
            <w:pPr>
              <w:jc w:val="both"/>
              <w:rPr>
                <w:rFonts w:ascii="Times New Roman" w:eastAsia="Cambria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2AA3FE96" w14:textId="77777777" w:rsidR="00797BFB" w:rsidRPr="004A00C5" w:rsidRDefault="00797BFB" w:rsidP="0079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A9083" w14:textId="77777777" w:rsidR="00797BFB" w:rsidRPr="004A00C5" w:rsidRDefault="00797BFB" w:rsidP="00797BF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0C5">
        <w:rPr>
          <w:rFonts w:ascii="Times New Roman" w:hAnsi="Times New Roman" w:cs="Times New Roman"/>
          <w:bCs/>
          <w:sz w:val="24"/>
          <w:szCs w:val="24"/>
        </w:rPr>
        <w:t xml:space="preserve">2.4 - </w:t>
      </w:r>
      <w:r w:rsidRPr="004A00C5">
        <w:rPr>
          <w:rFonts w:ascii="Times New Roman" w:hAnsi="Times New Roman" w:cs="Times New Roman"/>
          <w:b/>
          <w:sz w:val="24"/>
          <w:szCs w:val="24"/>
        </w:rPr>
        <w:t xml:space="preserve">Dos recursos e 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4A00C5">
        <w:rPr>
          <w:rFonts w:ascii="Times New Roman" w:hAnsi="Times New Roman" w:cs="Times New Roman"/>
          <w:b/>
          <w:sz w:val="24"/>
          <w:szCs w:val="24"/>
        </w:rPr>
        <w:t>en</w:t>
      </w:r>
      <w:r w:rsidRPr="002B16D0">
        <w:rPr>
          <w:rFonts w:ascii="Times New Roman" w:hAnsi="Times New Roman" w:cs="Times New Roman"/>
          <w:b/>
          <w:sz w:val="24"/>
          <w:szCs w:val="24"/>
        </w:rPr>
        <w:t>trega de currículos:</w:t>
      </w:r>
      <w:r w:rsidRPr="004A00C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36F17E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Comunicar 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se os recursos poderão ser interpostos por</w:t>
      </w:r>
      <w:r w:rsidRPr="00F12111">
        <w:rPr>
          <w:rFonts w:ascii="Times New Roman" w:hAnsi="Times New Roman" w:cs="Times New Roman"/>
          <w:b/>
          <w:bCs/>
          <w:i/>
          <w:color w:val="8496B0" w:themeColor="text2" w:themeTint="99"/>
          <w:sz w:val="24"/>
          <w:szCs w:val="24"/>
        </w:rPr>
        <w:t xml:space="preserve"> e-mail institucional (@ufopa.edu.br)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, a ser informado pela unidade demandant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e).</w:t>
      </w:r>
    </w:p>
    <w:p w14:paraId="2DDB4B03" w14:textId="77777777" w:rsidR="00797BFB" w:rsidRPr="00692B19" w:rsidRDefault="00797BFB" w:rsidP="00797BFB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0C5">
        <w:rPr>
          <w:rFonts w:ascii="Times New Roman" w:hAnsi="Times New Roman" w:cs="Times New Roman"/>
          <w:iCs/>
          <w:sz w:val="24"/>
          <w:szCs w:val="24"/>
        </w:rPr>
        <w:t>(   ) Serão aceitos de forma digital, a serem encaminhado ao e-mail 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14:paraId="50D97C91" w14:textId="77777777" w:rsidR="00797BFB" w:rsidRPr="004A00C5" w:rsidRDefault="00797BFB" w:rsidP="00797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C5">
        <w:rPr>
          <w:rFonts w:ascii="Times New Roman" w:hAnsi="Times New Roman" w:cs="Times New Roman"/>
          <w:b/>
          <w:sz w:val="24"/>
          <w:szCs w:val="24"/>
        </w:rPr>
        <w:t xml:space="preserve">3 - DA BANCA EXAMINADORA </w:t>
      </w:r>
    </w:p>
    <w:p w14:paraId="428CB5A5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Neste item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,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S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ubunidade deverá relacionar os 3 (três) membros efetivos e 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os 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3 (três) suplente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s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 que comporão a comissão examinadora do PSS. </w:t>
      </w:r>
    </w:p>
    <w:p w14:paraId="2B215528" w14:textId="77777777" w:rsidR="00797BFB" w:rsidRPr="00F12111" w:rsidRDefault="00797BFB" w:rsidP="00797BFB">
      <w:pPr>
        <w:jc w:val="both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A unidade demandante é quem indicará a composição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,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 conforme 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a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rts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.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 16 e 17 da Resolução </w:t>
      </w:r>
      <w:r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nº </w:t>
      </w:r>
      <w:r w:rsidRPr="00F12111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>78, de 13 de fevereiro de 2020.</w:t>
      </w:r>
    </w:p>
    <w:p w14:paraId="38CCADAF" w14:textId="77777777" w:rsidR="00797BFB" w:rsidRPr="004A00C5" w:rsidRDefault="00797BFB" w:rsidP="00797B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7"/>
        <w:gridCol w:w="1858"/>
        <w:gridCol w:w="1858"/>
      </w:tblGrid>
      <w:tr w:rsidR="00797BFB" w:rsidRPr="004A00C5" w14:paraId="10243A6E" w14:textId="77777777" w:rsidTr="00A70C30">
        <w:trPr>
          <w:jc w:val="center"/>
        </w:trPr>
        <w:tc>
          <w:tcPr>
            <w:tcW w:w="1856" w:type="dxa"/>
            <w:shd w:val="clear" w:color="auto" w:fill="EEECE1"/>
            <w:vAlign w:val="center"/>
          </w:tcPr>
          <w:p w14:paraId="1F2FD75C" w14:textId="77777777" w:rsidR="00797BFB" w:rsidRPr="004A00C5" w:rsidRDefault="00797BFB" w:rsidP="00A7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1857" w:type="dxa"/>
            <w:shd w:val="clear" w:color="auto" w:fill="EEECE1"/>
            <w:vAlign w:val="center"/>
          </w:tcPr>
          <w:p w14:paraId="0965B486" w14:textId="77777777" w:rsidR="00797BFB" w:rsidRPr="004A00C5" w:rsidRDefault="00797BFB" w:rsidP="00A7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ocente</w:t>
            </w:r>
          </w:p>
        </w:tc>
        <w:tc>
          <w:tcPr>
            <w:tcW w:w="1857" w:type="dxa"/>
            <w:shd w:val="clear" w:color="auto" w:fill="EEECE1"/>
            <w:vAlign w:val="center"/>
          </w:tcPr>
          <w:p w14:paraId="1DCB32D4" w14:textId="77777777" w:rsidR="00797BFB" w:rsidRPr="004A00C5" w:rsidRDefault="00797BFB" w:rsidP="00A7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Titulação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ocente</w:t>
            </w:r>
          </w:p>
        </w:tc>
        <w:tc>
          <w:tcPr>
            <w:tcW w:w="1858" w:type="dxa"/>
            <w:shd w:val="clear" w:color="auto" w:fill="EEECE1"/>
            <w:vAlign w:val="center"/>
          </w:tcPr>
          <w:p w14:paraId="1769A0B2" w14:textId="77777777" w:rsidR="00797BFB" w:rsidRPr="004A00C5" w:rsidRDefault="00797BFB" w:rsidP="00A7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58" w:type="dxa"/>
            <w:shd w:val="clear" w:color="auto" w:fill="EEECE1"/>
            <w:vAlign w:val="center"/>
          </w:tcPr>
          <w:p w14:paraId="4A46908C" w14:textId="77777777" w:rsidR="00797BFB" w:rsidRPr="004A00C5" w:rsidRDefault="00797BFB" w:rsidP="00A7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797BFB" w:rsidRPr="004A00C5" w14:paraId="1C398E4D" w14:textId="77777777" w:rsidTr="00A70C30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58E25332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D9E78B5" w14:textId="77777777" w:rsidR="00797BFB" w:rsidRPr="004A00C5" w:rsidRDefault="00797BFB" w:rsidP="00A70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389A5E6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2AE42FF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24CED54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48ABEC54" w14:textId="77777777" w:rsidTr="00A70C30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6714F131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1º titular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975E11C" w14:textId="77777777" w:rsidR="00797BFB" w:rsidRPr="004A00C5" w:rsidRDefault="00797BFB" w:rsidP="00A70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A49AFC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7E89558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0B6321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7F8816EC" w14:textId="77777777" w:rsidTr="00A70C30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06961BCD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2º titular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7B52D50" w14:textId="77777777" w:rsidR="00797BFB" w:rsidRPr="004A00C5" w:rsidRDefault="00797BFB" w:rsidP="00A70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C98257D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3E2F491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4CD3571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72BAF4CF" w14:textId="77777777" w:rsidTr="00A70C30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22E46B1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uplente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FEC7DD0" w14:textId="77777777" w:rsidR="00797BFB" w:rsidRPr="004A00C5" w:rsidRDefault="00797BFB" w:rsidP="00A70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EA35A19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BC43A22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1F72E60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35E31F2E" w14:textId="77777777" w:rsidTr="00A70C30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094EA489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uplente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90ACEA6" w14:textId="77777777" w:rsidR="00797BFB" w:rsidRPr="004A00C5" w:rsidRDefault="00797BFB" w:rsidP="00A70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EA67698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3207936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FD6FE3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FB" w:rsidRPr="004A00C5" w14:paraId="519B307F" w14:textId="77777777" w:rsidTr="00A70C30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14:paraId="652FFF13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 xml:space="preserve">3º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00C5">
              <w:rPr>
                <w:rFonts w:ascii="Times New Roman" w:hAnsi="Times New Roman" w:cs="Times New Roman"/>
                <w:sz w:val="24"/>
                <w:szCs w:val="24"/>
              </w:rPr>
              <w:t>uplente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D597429" w14:textId="77777777" w:rsidR="00797BFB" w:rsidRPr="004A00C5" w:rsidRDefault="00797BFB" w:rsidP="00A70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BCA3730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7B414AA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2898AB5" w14:textId="77777777" w:rsidR="00797BFB" w:rsidRPr="004A00C5" w:rsidRDefault="00797BFB" w:rsidP="00A7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063CF" w14:textId="77777777" w:rsidR="00797BFB" w:rsidRPr="004A00C5" w:rsidRDefault="00797BFB" w:rsidP="00797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7BFB" w:rsidRPr="004A00C5" w:rsidSect="001357E7">
      <w:pgSz w:w="12240" w:h="15840"/>
      <w:pgMar w:top="1440" w:right="1080" w:bottom="1276" w:left="1080" w:header="274" w:footer="28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lano" w:date="2021-06-08T21:34:00Z" w:initials="S">
    <w:p w14:paraId="1CF05465" w14:textId="77777777" w:rsidR="00797BFB" w:rsidRDefault="00797BFB" w:rsidP="00797BFB">
      <w:pPr>
        <w:pStyle w:val="Textodecomentrio"/>
      </w:pPr>
      <w:r>
        <w:rPr>
          <w:rStyle w:val="Refdecomentrio"/>
        </w:rPr>
        <w:annotationRef/>
      </w:r>
      <w:r w:rsidRPr="00EF0723">
        <w:t xml:space="preserve">Ou é "currículo Lattes" ou </w:t>
      </w:r>
      <w:r>
        <w:t>“</w:t>
      </w:r>
      <w:r w:rsidRPr="00EF0723">
        <w:t>curriculum vitae</w:t>
      </w:r>
      <w:r>
        <w:t>”. Veja o comentário precedente.</w:t>
      </w:r>
    </w:p>
    <w:p w14:paraId="4AE278BD" w14:textId="77777777" w:rsidR="00797BFB" w:rsidRDefault="00797BFB" w:rsidP="00797BFB">
      <w:pPr>
        <w:pStyle w:val="Textodecomentrio"/>
      </w:pPr>
    </w:p>
  </w:comment>
  <w:comment w:id="1" w:author="Ádrya Paiva" w:date="2021-06-10T11:24:00Z" w:initials="ÁP">
    <w:p w14:paraId="6D3EC087" w14:textId="77777777" w:rsidR="00797BFB" w:rsidRDefault="00797BFB" w:rsidP="00797BFB">
      <w:pPr>
        <w:pStyle w:val="Textodecomentrio"/>
      </w:pPr>
      <w:r>
        <w:rPr>
          <w:rStyle w:val="Refdecomentrio"/>
        </w:rPr>
        <w:annotationRef/>
      </w:r>
      <w:r>
        <w:t>É o lattes mesmo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E278BD" w15:done="1"/>
  <w15:commentEx w15:paraId="6D3EC087" w15:paraIdParent="4AE278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501" w16cex:dateUtc="2021-06-10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278BD" w16cid:durableId="246A60D9"/>
  <w16cid:commentId w16cid:paraId="6D3EC087" w16cid:durableId="246C75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0C2D"/>
    <w:multiLevelType w:val="hybridMultilevel"/>
    <w:tmpl w:val="D91A594A"/>
    <w:lvl w:ilvl="0" w:tplc="D1C8706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6E3A"/>
    <w:multiLevelType w:val="multilevel"/>
    <w:tmpl w:val="15D2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55C705E3"/>
    <w:multiLevelType w:val="multilevel"/>
    <w:tmpl w:val="1898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613323F6"/>
    <w:multiLevelType w:val="hybridMultilevel"/>
    <w:tmpl w:val="5F606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ano">
    <w15:presenceInfo w15:providerId="None" w15:userId="Solano"/>
  </w15:person>
  <w15:person w15:author="Ádrya Paiva">
    <w15:presenceInfo w15:providerId="Windows Live" w15:userId="c4eed2c7c917b6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B"/>
    <w:rsid w:val="001757A5"/>
    <w:rsid w:val="007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B62"/>
  <w15:chartTrackingRefBased/>
  <w15:docId w15:val="{8DB20C26-3371-4031-8DA9-A7F46B1D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797BF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797BFB"/>
    <w:rPr>
      <w:rFonts w:ascii="Carlito" w:eastAsia="Carlito" w:hAnsi="Carlito" w:cs="Carlito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97BFB"/>
  </w:style>
  <w:style w:type="character" w:styleId="Hyperlink">
    <w:name w:val="Hyperlink"/>
    <w:basedOn w:val="Fontepargpadro"/>
    <w:uiPriority w:val="99"/>
    <w:unhideWhenUsed/>
    <w:rsid w:val="00797BFB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97BFB"/>
    <w:pPr>
      <w:widowControl/>
      <w:autoSpaceDE/>
      <w:autoSpaceDN/>
      <w:spacing w:after="200"/>
    </w:pPr>
    <w:rPr>
      <w:rFonts w:ascii="Calibri" w:eastAsia="Calibri" w:hAnsi="Calibri" w:cs="Calibri"/>
      <w:color w:val="000000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97BFB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7BFB"/>
    <w:rPr>
      <w:sz w:val="16"/>
      <w:szCs w:val="16"/>
    </w:rPr>
  </w:style>
  <w:style w:type="paragraph" w:customStyle="1" w:styleId="Standard">
    <w:name w:val="Standard"/>
    <w:rsid w:val="00797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97BFB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97BFB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paragraph" w:styleId="Cabealho">
    <w:name w:val="header"/>
    <w:basedOn w:val="Normal"/>
    <w:link w:val="CabealhoChar"/>
    <w:unhideWhenUsed/>
    <w:rsid w:val="00797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97BFB"/>
    <w:rPr>
      <w:rFonts w:ascii="Carlito" w:eastAsia="Carlito" w:hAnsi="Carlito" w:cs="Carlito"/>
      <w:lang w:val="pt-PT"/>
    </w:rPr>
  </w:style>
  <w:style w:type="paragraph" w:styleId="SemEspaamento">
    <w:name w:val="No Spacing"/>
    <w:link w:val="SemEspaamentoChar"/>
    <w:uiPriority w:val="1"/>
    <w:qFormat/>
    <w:rsid w:val="00797BFB"/>
    <w:pPr>
      <w:spacing w:after="0" w:line="240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qFormat/>
    <w:rsid w:val="00797BFB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://www.ufopa.edu.br/concursos" TargetMode="External"/><Relationship Id="rId10" Type="http://schemas.openxmlformats.org/officeDocument/2006/relationships/hyperlink" Target="http://www.ufopa.edu.br/concursos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1065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Ádrya Paiva</dc:creator>
  <cp:keywords/>
  <dc:description/>
  <cp:lastModifiedBy>Ádrya Paiva</cp:lastModifiedBy>
  <cp:revision>1</cp:revision>
  <dcterms:created xsi:type="dcterms:W3CDTF">2021-06-30T20:06:00Z</dcterms:created>
  <dcterms:modified xsi:type="dcterms:W3CDTF">2021-06-30T20:15:00Z</dcterms:modified>
</cp:coreProperties>
</file>